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E2E" w:rsidRDefault="00BB4E2E" w:rsidP="00BB4E2E">
      <w:pPr>
        <w:spacing w:before="69"/>
        <w:ind w:left="2954" w:right="538"/>
        <w:rPr>
          <w:rFonts w:ascii="Arial" w:eastAsia="Arial" w:hAnsi="Arial" w:cs="Arial"/>
          <w:sz w:val="23"/>
          <w:szCs w:val="23"/>
        </w:rPr>
      </w:pPr>
      <w:r>
        <w:rPr>
          <w:rFonts w:ascii="Arial"/>
          <w:b/>
          <w:sz w:val="23"/>
          <w:u w:val="thick" w:color="000000"/>
        </w:rPr>
        <w:t>Portfolio Refinance</w:t>
      </w:r>
      <w:r>
        <w:rPr>
          <w:rFonts w:ascii="Arial"/>
          <w:b/>
          <w:spacing w:val="-28"/>
          <w:sz w:val="23"/>
          <w:u w:val="thick" w:color="000000"/>
        </w:rPr>
        <w:t xml:space="preserve"> </w:t>
      </w:r>
      <w:r>
        <w:rPr>
          <w:rFonts w:ascii="Arial"/>
          <w:b/>
          <w:sz w:val="23"/>
          <w:u w:val="thick" w:color="000000"/>
        </w:rPr>
        <w:t>Program</w:t>
      </w:r>
    </w:p>
    <w:p w:rsidR="00BB4E2E" w:rsidRDefault="00BB4E2E" w:rsidP="00BB4E2E">
      <w:pPr>
        <w:rPr>
          <w:rFonts w:ascii="Arial" w:eastAsia="Arial" w:hAnsi="Arial" w:cs="Arial"/>
          <w:b/>
          <w:bCs/>
          <w:sz w:val="20"/>
          <w:szCs w:val="20"/>
        </w:rPr>
      </w:pPr>
    </w:p>
    <w:p w:rsidR="00BB4E2E" w:rsidRDefault="00BB4E2E" w:rsidP="00BB4E2E">
      <w:pPr>
        <w:spacing w:before="3"/>
        <w:rPr>
          <w:rFonts w:ascii="Arial" w:eastAsia="Arial" w:hAnsi="Arial" w:cs="Arial"/>
          <w:b/>
          <w:bCs/>
          <w:sz w:val="19"/>
          <w:szCs w:val="19"/>
        </w:rPr>
      </w:pPr>
    </w:p>
    <w:p w:rsidR="00BB4E2E" w:rsidRDefault="00BB4E2E" w:rsidP="00BB4E2E">
      <w:pPr>
        <w:pStyle w:val="BodyText"/>
        <w:spacing w:line="256" w:lineRule="auto"/>
        <w:ind w:right="538"/>
      </w:pPr>
      <w:r>
        <w:rPr>
          <w:b/>
        </w:rPr>
        <w:t xml:space="preserve">Niche Guidelines </w:t>
      </w:r>
      <w:r>
        <w:t>- our solution is nationwide and offers the traditional Fannie, Freddie, and FHA products, in addition to FHA's: Negative Equity Position (NEP or "short</w:t>
      </w:r>
      <w:r>
        <w:rPr>
          <w:spacing w:val="9"/>
        </w:rPr>
        <w:t xml:space="preserve"> </w:t>
      </w:r>
      <w:r>
        <w:t>refi").</w:t>
      </w:r>
    </w:p>
    <w:p w:rsidR="00BB4E2E" w:rsidRDefault="00BB4E2E" w:rsidP="00BB4E2E">
      <w:pPr>
        <w:spacing w:before="7"/>
        <w:rPr>
          <w:rFonts w:ascii="Arial" w:eastAsia="Arial" w:hAnsi="Arial" w:cs="Arial"/>
          <w:sz w:val="27"/>
          <w:szCs w:val="27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4"/>
        <w:gridCol w:w="2069"/>
        <w:gridCol w:w="2104"/>
      </w:tblGrid>
      <w:tr w:rsidR="00BB4E2E" w:rsidTr="00C42BBC">
        <w:trPr>
          <w:trHeight w:hRule="exact" w:val="527"/>
        </w:trPr>
        <w:tc>
          <w:tcPr>
            <w:tcW w:w="4554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spacing w:before="5"/>
              <w:rPr>
                <w:rFonts w:ascii="Arial" w:eastAsia="Arial" w:hAnsi="Arial" w:cs="Arial"/>
                <w:sz w:val="14"/>
                <w:szCs w:val="14"/>
              </w:rPr>
            </w:pPr>
          </w:p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Niche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Guidelines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spacing w:before="75" w:line="271" w:lineRule="auto"/>
              <w:ind w:left="681" w:right="368" w:hanging="2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TRADITIONAL FHA (203b-703)</w:t>
            </w:r>
          </w:p>
        </w:tc>
        <w:tc>
          <w:tcPr>
            <w:tcW w:w="210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75" w:line="271" w:lineRule="auto"/>
              <w:ind w:left="503" w:right="147" w:hanging="3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FHA'S NEGATIVE EQUITY POSITION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(NEP)</w:t>
            </w:r>
          </w:p>
        </w:tc>
      </w:tr>
      <w:tr w:rsidR="00BB4E2E" w:rsidTr="00C42BBC">
        <w:trPr>
          <w:trHeight w:hRule="exact" w:val="670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12 month minimum mortgage</w:t>
            </w:r>
            <w:r>
              <w:rPr>
                <w:rFonts w:ascii="Arial"/>
                <w:spacing w:val="2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history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206B83" w:rsidP="00206B83">
            <w:pPr>
              <w:pStyle w:val="TableParagraph"/>
              <w:spacing w:line="261" w:lineRule="auto"/>
              <w:ind w:left="21" w:right="1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Maximum delinquency – 1</w:t>
            </w:r>
            <w:r w:rsidR="00BB4E2E">
              <w:rPr>
                <w:rFonts w:ascii="Arial" w:eastAsia="Arial" w:hAnsi="Arial" w:cs="Arial"/>
                <w:sz w:val="14"/>
                <w:szCs w:val="14"/>
              </w:rPr>
              <w:t>x30 “accept/eligible”</w:t>
            </w:r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206B83" w:rsidP="00C42BBC">
            <w:pPr>
              <w:pStyle w:val="TableParagraph"/>
              <w:spacing w:line="261" w:lineRule="auto"/>
              <w:ind w:left="21" w:righ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See modified mortgage for non-modified 1x30 past 12 months</w:t>
            </w:r>
          </w:p>
        </w:tc>
      </w:tr>
      <w:tr w:rsidR="00BB4E2E" w:rsidTr="00C42BBC">
        <w:trPr>
          <w:trHeight w:hRule="exact" w:val="463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Credit Score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Requirements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spacing w:line="261" w:lineRule="auto"/>
              <w:ind w:left="21" w:right="15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=&gt;580 - maximum financing 500-579 - maximum 90%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LTV</w:t>
            </w:r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500</w:t>
            </w:r>
          </w:p>
        </w:tc>
      </w:tr>
      <w:tr w:rsidR="00BB4E2E" w:rsidTr="00C42BBC">
        <w:trPr>
          <w:trHeight w:hRule="exact" w:val="175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Loan Types (existing</w:t>
            </w:r>
            <w:r>
              <w:rPr>
                <w:rFonts w:ascii="Arial"/>
                <w:spacing w:val="2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mortgage)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All</w:t>
            </w:r>
            <w:bookmarkStart w:id="0" w:name="_GoBack"/>
            <w:bookmarkEnd w:id="0"/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Excludes current FHA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insured</w:t>
            </w:r>
          </w:p>
        </w:tc>
      </w:tr>
      <w:tr w:rsidR="00BB4E2E" w:rsidTr="00C42BBC">
        <w:trPr>
          <w:trHeight w:hRule="exact" w:val="1152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Maximum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debt-to-income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spacing w:line="261" w:lineRule="auto"/>
              <w:ind w:left="21" w:right="89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Performing – per normal FHA guidelines including the ability to utilize compensating</w:t>
            </w:r>
            <w:r>
              <w:rPr>
                <w:rFonts w:ascii="Arial" w:eastAsia="Arial" w:hAnsi="Arial" w:cs="Arial"/>
                <w:spacing w:val="2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factors.</w:t>
            </w:r>
          </w:p>
          <w:p w:rsidR="00BB4E2E" w:rsidRDefault="00BB4E2E" w:rsidP="00C42BBC">
            <w:pPr>
              <w:pStyle w:val="TableParagraph"/>
              <w:spacing w:before="6"/>
              <w:rPr>
                <w:rFonts w:ascii="Arial" w:eastAsia="Arial" w:hAnsi="Arial" w:cs="Arial"/>
                <w:sz w:val="20"/>
                <w:szCs w:val="20"/>
              </w:rPr>
            </w:pPr>
          </w:p>
          <w:p w:rsidR="00BB4E2E" w:rsidRDefault="00BB4E2E" w:rsidP="00C42BBC">
            <w:pPr>
              <w:pStyle w:val="TableParagraph"/>
              <w:ind w:left="21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Non-Performing – not</w:t>
            </w:r>
            <w:r>
              <w:rPr>
                <w:rFonts w:ascii="Arial" w:eastAsia="Arial" w:hAnsi="Arial" w:cs="Arial"/>
                <w:spacing w:val="1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allowed.</w:t>
            </w:r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261" w:lineRule="auto"/>
              <w:ind w:left="21" w:righ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Performing – per TOTAL acceptance, if “refer” risk classification then maximum DTI is</w:t>
            </w:r>
            <w:r>
              <w:rPr>
                <w:rFonts w:ascii="Arial" w:eastAsia="Arial" w:hAnsi="Arial" w:cs="Arial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31/50.</w:t>
            </w:r>
          </w:p>
          <w:p w:rsidR="00BB4E2E" w:rsidRDefault="00BB4E2E" w:rsidP="00C42BBC">
            <w:pPr>
              <w:pStyle w:val="TableParagraph"/>
              <w:spacing w:before="60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Non-Performing – not</w:t>
            </w:r>
            <w:r>
              <w:rPr>
                <w:rFonts w:ascii="Arial" w:eastAsia="Arial" w:hAnsi="Arial" w:cs="Arial"/>
                <w:spacing w:val="1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allowed</w:t>
            </w:r>
          </w:p>
        </w:tc>
      </w:tr>
      <w:tr w:rsidR="00BB4E2E" w:rsidTr="00C42BBC">
        <w:trPr>
          <w:trHeight w:hRule="exact" w:val="1092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Maximum Loan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Amounts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716615" w:rsidP="00C42BBC">
            <w:pPr>
              <w:pStyle w:val="TableParagraph"/>
              <w:spacing w:line="261" w:lineRule="auto"/>
              <w:ind w:left="21" w:right="57"/>
              <w:rPr>
                <w:rFonts w:ascii="Arial" w:eastAsia="Arial" w:hAnsi="Arial" w:cs="Arial"/>
                <w:sz w:val="14"/>
                <w:szCs w:val="14"/>
              </w:rPr>
            </w:pPr>
            <w:hyperlink r:id="rId8">
              <w:r w:rsidR="00BB4E2E">
                <w:rPr>
                  <w:rFonts w:ascii="Arial"/>
                  <w:sz w:val="14"/>
                </w:rPr>
                <w:t xml:space="preserve">Varies based on area. Visit below link for specific areas: </w:t>
              </w:r>
              <w:r w:rsidR="00BB4E2E">
                <w:rPr>
                  <w:rFonts w:ascii="Arial"/>
                  <w:color w:val="0000FF"/>
                  <w:sz w:val="14"/>
                  <w:u w:val="single" w:color="0000FF"/>
                </w:rPr>
                <w:t>https://entp.hud.gov/idapp/html</w:t>
              </w:r>
              <w:r w:rsidR="00BB4E2E">
                <w:rPr>
                  <w:rFonts w:ascii="Arial"/>
                  <w:color w:val="0000FF"/>
                  <w:sz w:val="14"/>
                </w:rPr>
                <w:t xml:space="preserve">/ </w:t>
              </w:r>
              <w:proofErr w:type="spellStart"/>
              <w:r w:rsidR="00BB4E2E">
                <w:rPr>
                  <w:rFonts w:ascii="Arial"/>
                  <w:color w:val="0000FF"/>
                  <w:sz w:val="14"/>
                  <w:u w:val="single" w:color="0000FF"/>
                </w:rPr>
                <w:t>hicostlook.cfm</w:t>
              </w:r>
              <w:proofErr w:type="spellEnd"/>
            </w:hyperlink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716615" w:rsidP="00C42BBC">
            <w:pPr>
              <w:pStyle w:val="TableParagraph"/>
              <w:spacing w:line="261" w:lineRule="auto"/>
              <w:ind w:left="21" w:right="7"/>
              <w:rPr>
                <w:rFonts w:ascii="Arial" w:eastAsia="Arial" w:hAnsi="Arial" w:cs="Arial"/>
                <w:sz w:val="14"/>
                <w:szCs w:val="14"/>
              </w:rPr>
            </w:pPr>
            <w:hyperlink r:id="rId9">
              <w:r w:rsidR="00BB4E2E">
                <w:rPr>
                  <w:rFonts w:ascii="Arial"/>
                  <w:sz w:val="14"/>
                </w:rPr>
                <w:t xml:space="preserve">Varies based on area.  Visit below link for specific areas: </w:t>
              </w:r>
              <w:r w:rsidR="00BB4E2E">
                <w:rPr>
                  <w:rFonts w:ascii="Arial"/>
                  <w:color w:val="0000FF"/>
                  <w:sz w:val="14"/>
                  <w:u w:val="single" w:color="0000FF"/>
                </w:rPr>
                <w:t xml:space="preserve">https://entp.hud.gov/idapp/html/h </w:t>
              </w:r>
              <w:proofErr w:type="spellStart"/>
              <w:r w:rsidR="00BB4E2E">
                <w:rPr>
                  <w:rFonts w:ascii="Arial"/>
                  <w:color w:val="0000FF"/>
                  <w:sz w:val="14"/>
                  <w:u w:val="single" w:color="0000FF"/>
                </w:rPr>
                <w:t>icostlook.cfm</w:t>
              </w:r>
              <w:proofErr w:type="spellEnd"/>
            </w:hyperlink>
          </w:p>
        </w:tc>
      </w:tr>
      <w:tr w:rsidR="00BB4E2E" w:rsidTr="00C42BBC">
        <w:trPr>
          <w:trHeight w:hRule="exact" w:val="1298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Maximum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Loan-to-Values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716615" w:rsidP="00C42BBC">
            <w:pPr>
              <w:pStyle w:val="TableParagraph"/>
              <w:spacing w:line="261" w:lineRule="auto"/>
              <w:ind w:left="21" w:right="160"/>
              <w:rPr>
                <w:rFonts w:ascii="Arial" w:eastAsia="Arial" w:hAnsi="Arial" w:cs="Arial"/>
                <w:sz w:val="14"/>
                <w:szCs w:val="14"/>
              </w:rPr>
            </w:pPr>
            <w:hyperlink r:id="rId10">
              <w:r w:rsidR="00BB4E2E">
                <w:rPr>
                  <w:rFonts w:ascii="Arial" w:eastAsia="Arial" w:hAnsi="Arial" w:cs="Arial"/>
                  <w:sz w:val="14"/>
                  <w:szCs w:val="14"/>
                </w:rPr>
                <w:t>Performing – 97.75% LTV Non-Performing – not</w:t>
              </w:r>
              <w:r w:rsidR="00BB4E2E">
                <w:rPr>
                  <w:rFonts w:ascii="Arial" w:eastAsia="Arial" w:hAnsi="Arial" w:cs="Arial"/>
                  <w:spacing w:val="19"/>
                  <w:sz w:val="14"/>
                  <w:szCs w:val="14"/>
                </w:rPr>
                <w:t xml:space="preserve"> </w:t>
              </w:r>
              <w:r w:rsidR="00BB4E2E">
                <w:rPr>
                  <w:rFonts w:ascii="Arial" w:eastAsia="Arial" w:hAnsi="Arial" w:cs="Arial"/>
                  <w:sz w:val="14"/>
                  <w:szCs w:val="14"/>
                </w:rPr>
                <w:t>allowed</w:t>
              </w:r>
            </w:hyperlink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716615" w:rsidP="00C42BBC">
            <w:pPr>
              <w:pStyle w:val="TableParagraph"/>
              <w:spacing w:line="261" w:lineRule="auto"/>
              <w:ind w:left="21" w:right="189"/>
              <w:rPr>
                <w:rFonts w:ascii="Arial" w:eastAsia="Arial" w:hAnsi="Arial" w:cs="Arial"/>
                <w:sz w:val="14"/>
                <w:szCs w:val="14"/>
              </w:rPr>
            </w:pPr>
            <w:hyperlink r:id="rId11">
              <w:r w:rsidR="00BB4E2E">
                <w:rPr>
                  <w:rFonts w:ascii="Arial" w:eastAsia="Arial" w:hAnsi="Arial" w:cs="Arial"/>
                  <w:sz w:val="14"/>
                  <w:szCs w:val="14"/>
                </w:rPr>
                <w:t>Performing – 97.75% LTV Non-Performing – not</w:t>
              </w:r>
              <w:r w:rsidR="00BB4E2E">
                <w:rPr>
                  <w:rFonts w:ascii="Arial" w:eastAsia="Arial" w:hAnsi="Arial" w:cs="Arial"/>
                  <w:spacing w:val="19"/>
                  <w:sz w:val="14"/>
                  <w:szCs w:val="14"/>
                </w:rPr>
                <w:t xml:space="preserve"> </w:t>
              </w:r>
              <w:r w:rsidR="00BB4E2E">
                <w:rPr>
                  <w:rFonts w:ascii="Arial" w:eastAsia="Arial" w:hAnsi="Arial" w:cs="Arial"/>
                  <w:sz w:val="14"/>
                  <w:szCs w:val="14"/>
                </w:rPr>
                <w:t>allowed</w:t>
              </w:r>
            </w:hyperlink>
          </w:p>
        </w:tc>
      </w:tr>
      <w:tr w:rsidR="00BB4E2E" w:rsidTr="00772DC6">
        <w:trPr>
          <w:trHeight w:hRule="exact" w:val="2190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Modified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mortgages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772DC6">
            <w:pPr>
              <w:pStyle w:val="TableParagraph"/>
              <w:spacing w:line="261" w:lineRule="auto"/>
              <w:ind w:left="21" w:right="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Loan must be current and for the last 12 months meet the following minimum payment history of 1x30…assumes automated underwriting system decision of "accept/eligible.".</w:t>
            </w:r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numPr>
                <w:ilvl w:val="0"/>
                <w:numId w:val="1"/>
              </w:numPr>
              <w:tabs>
                <w:tab w:val="left" w:pos="187"/>
              </w:tabs>
              <w:spacing w:line="261" w:lineRule="auto"/>
              <w:ind w:right="54" w:firstLine="0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If modified under the terms of HAMP, the new loan may close the month following the date the modification was</w:t>
            </w:r>
            <w:r>
              <w:rPr>
                <w:rFonts w:ascii="Arial"/>
                <w:spacing w:val="1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permanent.</w:t>
            </w:r>
          </w:p>
          <w:p w:rsidR="00BB4E2E" w:rsidRDefault="00BB4E2E" w:rsidP="00C42BBC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BB4E2E" w:rsidRDefault="00BB4E2E" w:rsidP="00C42BBC">
            <w:pPr>
              <w:pStyle w:val="TableParagraph"/>
              <w:numPr>
                <w:ilvl w:val="0"/>
                <w:numId w:val="1"/>
              </w:numPr>
              <w:tabs>
                <w:tab w:val="left" w:pos="187"/>
              </w:tabs>
              <w:spacing w:line="261" w:lineRule="auto"/>
              <w:ind w:right="55" w:firstLine="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If the modification was a non- HAMP modification, the borrower must have made 3 monthly payments on time and the modified </w:t>
            </w:r>
            <w:r w:rsidR="00772DC6">
              <w:rPr>
                <w:rFonts w:ascii="Arial"/>
                <w:sz w:val="14"/>
              </w:rPr>
              <w:t xml:space="preserve">and or forbearance </w:t>
            </w:r>
            <w:r>
              <w:rPr>
                <w:rFonts w:ascii="Arial"/>
                <w:sz w:val="14"/>
              </w:rPr>
              <w:t>mortgage must be current for the month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due.</w:t>
            </w:r>
          </w:p>
        </w:tc>
      </w:tr>
      <w:tr w:rsidR="00BB4E2E" w:rsidTr="00C42BBC">
        <w:trPr>
          <w:trHeight w:hRule="exact" w:val="679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Mortgage Payment</w:t>
            </w:r>
            <w:r>
              <w:rPr>
                <w:rFonts w:ascii="Arial"/>
                <w:spacing w:val="1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Status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spacing w:line="261" w:lineRule="auto"/>
              <w:ind w:left="21" w:right="19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Current Only – The mortgage being refinanced must be current for the month</w:t>
            </w:r>
            <w:r>
              <w:rPr>
                <w:rFonts w:ascii="Arial" w:eastAsia="Arial" w:hAnsi="Arial" w:cs="Arial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due.</w:t>
            </w:r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261" w:lineRule="auto"/>
              <w:ind w:left="21" w:righ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Current Only – The mortgage being refinanced must be current for the month</w:t>
            </w:r>
            <w:r>
              <w:rPr>
                <w:rFonts w:ascii="Arial" w:eastAsia="Arial" w:hAnsi="Arial" w:cs="Arial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due.</w:t>
            </w:r>
          </w:p>
        </w:tc>
      </w:tr>
      <w:tr w:rsidR="00BB4E2E" w:rsidTr="00C42BBC">
        <w:trPr>
          <w:trHeight w:hRule="exact" w:val="175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Occupancy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spacing w:line="161" w:lineRule="exact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Primary 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residence</w:t>
            </w:r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Primary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residence</w:t>
            </w:r>
          </w:p>
        </w:tc>
      </w:tr>
      <w:tr w:rsidR="00BB4E2E" w:rsidTr="00C42BBC">
        <w:trPr>
          <w:trHeight w:hRule="exact" w:val="607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tabs>
                <w:tab w:val="right" w:pos="4536"/>
              </w:tabs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Principal reduction</w:t>
            </w:r>
            <w:r>
              <w:rPr>
                <w:rFonts w:ascii="Arial"/>
                <w:spacing w:val="1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required</w:t>
            </w:r>
            <w:r>
              <w:rPr>
                <w:rFonts w:ascii="Arial"/>
                <w:sz w:val="14"/>
              </w:rPr>
              <w:tab/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tabs>
                <w:tab w:val="left" w:pos="1689"/>
              </w:tabs>
              <w:spacing w:line="261" w:lineRule="auto"/>
              <w:ind w:left="21" w:right="3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Not required. Loan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 w:rsidRPr="00772DC6">
              <w:rPr>
                <w:rFonts w:ascii="Arial"/>
                <w:sz w:val="14"/>
                <w:u w:val="single"/>
              </w:rPr>
              <w:t>is</w:t>
            </w:r>
            <w:r w:rsidR="00772DC6" w:rsidRPr="00772DC6">
              <w:rPr>
                <w:rFonts w:ascii="Arial"/>
                <w:sz w:val="14"/>
                <w:u w:val="single"/>
              </w:rPr>
              <w:t xml:space="preserve"> </w:t>
            </w:r>
            <w:r>
              <w:rPr>
                <w:rFonts w:ascii="Arial"/>
                <w:sz w:val="14"/>
              </w:rPr>
              <w:t>required to be in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spacing w:val="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negative</w:t>
            </w:r>
            <w:r>
              <w:rPr>
                <w:rFonts w:ascii="Arial"/>
                <w:w w:val="10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equity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position.</w:t>
            </w:r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tabs>
                <w:tab w:val="left" w:pos="1819"/>
              </w:tabs>
              <w:spacing w:line="261" w:lineRule="auto"/>
              <w:ind w:left="21" w:right="2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10% of the 1st lien.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Loan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  <w:u w:val="single" w:color="000000"/>
              </w:rPr>
              <w:t>is</w:t>
            </w:r>
            <w:r>
              <w:rPr>
                <w:rFonts w:ascii="Arial"/>
                <w:sz w:val="14"/>
                <w:u w:val="single" w:color="000000"/>
              </w:rPr>
              <w:tab/>
            </w:r>
            <w:r>
              <w:rPr>
                <w:rFonts w:ascii="Arial"/>
                <w:w w:val="41"/>
                <w:sz w:val="14"/>
                <w:u w:val="single" w:color="000000"/>
              </w:rPr>
              <w:t xml:space="preserve"> </w:t>
            </w:r>
            <w:r>
              <w:rPr>
                <w:rFonts w:ascii="Arial"/>
                <w:sz w:val="14"/>
              </w:rPr>
              <w:t xml:space="preserve"> required to be in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</w:t>
            </w:r>
            <w:r>
              <w:rPr>
                <w:rFonts w:ascii="Arial"/>
                <w:spacing w:val="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negative</w:t>
            </w:r>
            <w:r>
              <w:rPr>
                <w:rFonts w:ascii="Arial"/>
                <w:w w:val="10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equity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position.</w:t>
            </w:r>
          </w:p>
        </w:tc>
      </w:tr>
      <w:tr w:rsidR="00BB4E2E" w:rsidTr="00C42BBC">
        <w:trPr>
          <w:trHeight w:hRule="exact" w:val="1316"/>
        </w:trPr>
        <w:tc>
          <w:tcPr>
            <w:tcW w:w="4554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Subordinate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Financing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:rsidR="00BB4E2E" w:rsidRDefault="00BB4E2E" w:rsidP="00C42BBC">
            <w:pPr>
              <w:pStyle w:val="TableParagraph"/>
              <w:spacing w:line="261" w:lineRule="auto"/>
              <w:ind w:left="21" w:right="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Subordinated financing must not exceed 97.75% CLTV after closing. Existing subordinate financing in excess of 97.75% CLTV must be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released.</w:t>
            </w:r>
          </w:p>
          <w:p w:rsidR="00BB4E2E" w:rsidRDefault="00BB4E2E" w:rsidP="00C42BBC">
            <w:pPr>
              <w:pStyle w:val="TableParagraph"/>
              <w:spacing w:line="261" w:lineRule="auto"/>
              <w:ind w:left="21" w:right="3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Subordinate financing must meet certain</w:t>
            </w:r>
            <w:r>
              <w:rPr>
                <w:rFonts w:ascii="Arial"/>
                <w:spacing w:val="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terms.</w:t>
            </w:r>
          </w:p>
        </w:tc>
        <w:tc>
          <w:tcPr>
            <w:tcW w:w="210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5" w:line="271" w:lineRule="auto"/>
              <w:ind w:left="21" w:righ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 xml:space="preserve">Subordinated financing up to 115% CLTV </w:t>
            </w:r>
            <w:r>
              <w:rPr>
                <w:rFonts w:ascii="Arial"/>
                <w:sz w:val="14"/>
              </w:rPr>
              <w:t>after</w:t>
            </w:r>
            <w:r>
              <w:rPr>
                <w:rFonts w:ascii="Arial"/>
                <w:spacing w:val="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closing.</w:t>
            </w:r>
          </w:p>
          <w:p w:rsidR="00BB4E2E" w:rsidRDefault="00BB4E2E" w:rsidP="00C42BBC">
            <w:pPr>
              <w:pStyle w:val="TableParagraph"/>
              <w:spacing w:line="261" w:lineRule="auto"/>
              <w:ind w:left="21" w:right="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Existing subordinate financing in excess of 115% CLTV must be released. Subordinate financing must meet certain</w:t>
            </w:r>
            <w:r>
              <w:rPr>
                <w:rFonts w:ascii="Arial"/>
                <w:spacing w:val="1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terms.</w:t>
            </w:r>
          </w:p>
        </w:tc>
      </w:tr>
    </w:tbl>
    <w:p w:rsidR="00BB4E2E" w:rsidRDefault="00BB4E2E" w:rsidP="00BB4E2E">
      <w:pPr>
        <w:rPr>
          <w:rFonts w:ascii="Arial" w:eastAsia="Arial" w:hAnsi="Arial" w:cs="Arial"/>
          <w:b/>
          <w:bCs/>
          <w:sz w:val="14"/>
          <w:szCs w:val="14"/>
        </w:rPr>
      </w:pPr>
    </w:p>
    <w:p w:rsidR="00BB4E2E" w:rsidRDefault="00BB4E2E" w:rsidP="00BB4E2E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BB4E2E" w:rsidRDefault="00BB4E2E" w:rsidP="00BB4E2E">
      <w:pPr>
        <w:pStyle w:val="BodyText"/>
        <w:spacing w:line="256" w:lineRule="auto"/>
        <w:ind w:right="538"/>
      </w:pPr>
      <w:r>
        <w:rPr>
          <w:b/>
        </w:rPr>
        <w:t xml:space="preserve">Net Proceeds Comparison </w:t>
      </w:r>
      <w:r>
        <w:t>- provides estimated net proceeds following our refinance solution utilizing FHA's: traditional 203b or Negative Equity Position</w:t>
      </w:r>
      <w:r>
        <w:rPr>
          <w:spacing w:val="7"/>
        </w:rPr>
        <w:t xml:space="preserve"> </w:t>
      </w:r>
      <w:r>
        <w:t>product.</w:t>
      </w:r>
    </w:p>
    <w:p w:rsidR="00BB4E2E" w:rsidRDefault="00BB4E2E" w:rsidP="00BB4E2E">
      <w:pPr>
        <w:spacing w:before="7"/>
        <w:rPr>
          <w:rFonts w:ascii="Arial" w:eastAsia="Arial" w:hAnsi="Arial" w:cs="Arial"/>
          <w:sz w:val="27"/>
          <w:szCs w:val="27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3"/>
        <w:gridCol w:w="2069"/>
        <w:gridCol w:w="2105"/>
      </w:tblGrid>
      <w:tr w:rsidR="00BB4E2E" w:rsidTr="00C42BBC">
        <w:trPr>
          <w:trHeight w:hRule="exact" w:val="713"/>
        </w:trPr>
        <w:tc>
          <w:tcPr>
            <w:tcW w:w="4553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BB4E2E" w:rsidRDefault="00BB4E2E" w:rsidP="00C42BBC">
            <w:pPr>
              <w:pStyle w:val="TableParagraph"/>
              <w:spacing w:before="96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  <w:u w:val="single" w:color="000000"/>
              </w:rPr>
              <w:t>Net Proceeds</w:t>
            </w:r>
            <w:r>
              <w:rPr>
                <w:rFonts w:ascii="Arial"/>
                <w:b/>
                <w:spacing w:val="19"/>
                <w:sz w:val="14"/>
                <w:u w:val="single" w:color="000000"/>
              </w:rPr>
              <w:t xml:space="preserve"> </w:t>
            </w:r>
            <w:r>
              <w:rPr>
                <w:rFonts w:ascii="Arial"/>
                <w:b/>
                <w:sz w:val="14"/>
                <w:u w:val="single" w:color="000000"/>
              </w:rPr>
              <w:t>Comparison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4"/>
              <w:rPr>
                <w:rFonts w:ascii="Arial" w:eastAsia="Arial" w:hAnsi="Arial" w:cs="Arial"/>
                <w:sz w:val="14"/>
                <w:szCs w:val="14"/>
              </w:rPr>
            </w:pPr>
          </w:p>
          <w:p w:rsidR="00BB4E2E" w:rsidRDefault="00BB4E2E" w:rsidP="00C42BBC">
            <w:pPr>
              <w:pStyle w:val="TableParagraph"/>
              <w:spacing w:line="271" w:lineRule="auto"/>
              <w:ind w:left="676" w:right="361" w:hanging="2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TRADITIONAL FHA (203b-703)</w:t>
            </w:r>
          </w:p>
        </w:tc>
        <w:tc>
          <w:tcPr>
            <w:tcW w:w="2105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4"/>
              <w:rPr>
                <w:rFonts w:ascii="Arial" w:eastAsia="Arial" w:hAnsi="Arial" w:cs="Arial"/>
                <w:sz w:val="14"/>
                <w:szCs w:val="14"/>
              </w:rPr>
            </w:pPr>
          </w:p>
          <w:p w:rsidR="00BB4E2E" w:rsidRDefault="00BB4E2E" w:rsidP="00C42BBC">
            <w:pPr>
              <w:pStyle w:val="TableParagraph"/>
              <w:spacing w:line="271" w:lineRule="auto"/>
              <w:ind w:left="499" w:right="147" w:hanging="3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FHA'S NEGATIVE EQUITY POSITION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(NEP)</w:t>
            </w:r>
          </w:p>
        </w:tc>
      </w:tr>
      <w:tr w:rsidR="00BB4E2E" w:rsidTr="00C42BBC">
        <w:trPr>
          <w:trHeight w:hRule="exact" w:val="353"/>
        </w:trPr>
        <w:tc>
          <w:tcPr>
            <w:tcW w:w="4553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6"/>
              <w:rPr>
                <w:rFonts w:ascii="Arial" w:eastAsia="Arial" w:hAnsi="Arial" w:cs="Arial"/>
                <w:sz w:val="15"/>
                <w:szCs w:val="15"/>
              </w:rPr>
            </w:pPr>
          </w:p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HOME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VALUE</w:t>
            </w:r>
          </w:p>
        </w:tc>
        <w:tc>
          <w:tcPr>
            <w:tcW w:w="2069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6"/>
              <w:rPr>
                <w:rFonts w:ascii="Arial" w:eastAsia="Arial" w:hAnsi="Arial" w:cs="Arial"/>
                <w:sz w:val="15"/>
                <w:szCs w:val="15"/>
              </w:rPr>
            </w:pPr>
          </w:p>
          <w:p w:rsidR="00BB4E2E" w:rsidRDefault="00BB4E2E" w:rsidP="00C42BBC">
            <w:pPr>
              <w:pStyle w:val="TableParagraph"/>
              <w:ind w:left="5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$200,000.00</w:t>
            </w:r>
          </w:p>
        </w:tc>
        <w:tc>
          <w:tcPr>
            <w:tcW w:w="2105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6"/>
              <w:rPr>
                <w:rFonts w:ascii="Arial" w:eastAsia="Arial" w:hAnsi="Arial" w:cs="Arial"/>
                <w:sz w:val="15"/>
                <w:szCs w:val="15"/>
              </w:rPr>
            </w:pPr>
          </w:p>
          <w:p w:rsidR="00BB4E2E" w:rsidRDefault="00BB4E2E" w:rsidP="00C42BBC">
            <w:pPr>
              <w:pStyle w:val="TableParagraph"/>
              <w:ind w:left="5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$200,000.00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LOAN</w:t>
            </w:r>
            <w:r>
              <w:rPr>
                <w:rFonts w:ascii="Arial"/>
                <w:spacing w:val="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AMOUNT</w:t>
            </w:r>
          </w:p>
        </w:tc>
        <w:tc>
          <w:tcPr>
            <w:tcW w:w="2069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tabs>
                <w:tab w:val="left" w:pos="1043"/>
              </w:tabs>
              <w:ind w:right="1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$195,500.00</w:t>
            </w:r>
            <w:r>
              <w:rPr>
                <w:rFonts w:ascii="Arial"/>
                <w:sz w:val="14"/>
              </w:rPr>
              <w:tab/>
              <w:t>97.75%</w:t>
            </w:r>
          </w:p>
        </w:tc>
        <w:tc>
          <w:tcPr>
            <w:tcW w:w="2105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tabs>
                <w:tab w:val="left" w:pos="1034"/>
              </w:tabs>
              <w:ind w:right="1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$195,500.00</w:t>
            </w:r>
            <w:r>
              <w:rPr>
                <w:rFonts w:ascii="Arial"/>
                <w:sz w:val="14"/>
              </w:rPr>
              <w:tab/>
              <w:t>97.75%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ESTIMATED CLOSING COSTS (see detail</w:t>
            </w:r>
            <w:r>
              <w:rPr>
                <w:rFonts w:ascii="Arial"/>
                <w:spacing w:val="3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below)</w:t>
            </w:r>
          </w:p>
        </w:tc>
        <w:tc>
          <w:tcPr>
            <w:tcW w:w="2069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772DC6" w:rsidP="00C42BBC">
            <w:pPr>
              <w:pStyle w:val="TableParagraph"/>
              <w:tabs>
                <w:tab w:val="left" w:pos="964"/>
              </w:tabs>
              <w:ind w:right="11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  <w:u w:val="single" w:color="000000"/>
              </w:rPr>
              <w:t>$10,270.95</w:t>
            </w:r>
            <w:r w:rsidR="00BB4E2E">
              <w:rPr>
                <w:rFonts w:ascii="Arial"/>
                <w:sz w:val="14"/>
              </w:rPr>
              <w:tab/>
            </w:r>
            <w:r>
              <w:rPr>
                <w:rFonts w:ascii="Arial"/>
                <w:sz w:val="14"/>
                <w:u w:val="single" w:color="000000"/>
              </w:rPr>
              <w:t>5.135</w:t>
            </w:r>
            <w:r w:rsidR="00BB4E2E">
              <w:rPr>
                <w:rFonts w:ascii="Arial"/>
                <w:sz w:val="14"/>
                <w:u w:val="single" w:color="000000"/>
              </w:rPr>
              <w:t>%</w:t>
            </w:r>
          </w:p>
        </w:tc>
        <w:tc>
          <w:tcPr>
            <w:tcW w:w="2105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9E7DE8" w:rsidP="00C42BBC">
            <w:pPr>
              <w:pStyle w:val="TableParagraph"/>
              <w:tabs>
                <w:tab w:val="left" w:pos="1034"/>
              </w:tabs>
              <w:ind w:right="11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  <w:u w:val="single" w:color="000000"/>
              </w:rPr>
              <w:t>$13,908.47</w:t>
            </w:r>
            <w:r w:rsidR="00BB4E2E">
              <w:rPr>
                <w:rFonts w:ascii="Arial"/>
                <w:sz w:val="14"/>
              </w:rPr>
              <w:tab/>
            </w:r>
            <w:r>
              <w:rPr>
                <w:rFonts w:ascii="Arial"/>
                <w:sz w:val="14"/>
                <w:u w:val="single" w:color="000000"/>
              </w:rPr>
              <w:t>6.954</w:t>
            </w:r>
            <w:r w:rsidR="00BB4E2E">
              <w:rPr>
                <w:rFonts w:ascii="Arial"/>
                <w:sz w:val="14"/>
                <w:u w:val="single" w:color="000000"/>
              </w:rPr>
              <w:t>%</w:t>
            </w:r>
          </w:p>
        </w:tc>
      </w:tr>
      <w:tr w:rsidR="00BB4E2E" w:rsidTr="00C42BBC">
        <w:trPr>
          <w:trHeight w:hRule="exact" w:val="230"/>
        </w:trPr>
        <w:tc>
          <w:tcPr>
            <w:tcW w:w="4553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NET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PROCEEDS</w:t>
            </w:r>
          </w:p>
        </w:tc>
        <w:tc>
          <w:tcPr>
            <w:tcW w:w="2069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9E7DE8" w:rsidP="00C42BBC">
            <w:pPr>
              <w:pStyle w:val="TableParagraph"/>
              <w:tabs>
                <w:tab w:val="left" w:pos="1046"/>
              </w:tabs>
              <w:ind w:right="9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$188,359.89</w:t>
            </w:r>
            <w:r>
              <w:rPr>
                <w:rFonts w:ascii="Arial"/>
                <w:b/>
                <w:sz w:val="14"/>
              </w:rPr>
              <w:tab/>
              <w:t>92.615</w:t>
            </w:r>
            <w:r w:rsidR="00BB4E2E">
              <w:rPr>
                <w:rFonts w:ascii="Arial"/>
                <w:b/>
                <w:sz w:val="14"/>
              </w:rPr>
              <w:t>%</w:t>
            </w:r>
          </w:p>
        </w:tc>
        <w:tc>
          <w:tcPr>
            <w:tcW w:w="2105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:rsidR="00BB4E2E" w:rsidRDefault="009E7DE8" w:rsidP="00C42BBC">
            <w:pPr>
              <w:pStyle w:val="TableParagraph"/>
              <w:tabs>
                <w:tab w:val="left" w:pos="1036"/>
              </w:tabs>
              <w:ind w:right="10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$185,404.89</w:t>
            </w:r>
            <w:r>
              <w:rPr>
                <w:rFonts w:ascii="Arial"/>
                <w:b/>
                <w:sz w:val="14"/>
              </w:rPr>
              <w:tab/>
              <w:t>90.826</w:t>
            </w:r>
            <w:r w:rsidR="00BB4E2E">
              <w:rPr>
                <w:rFonts w:ascii="Arial"/>
                <w:b/>
                <w:sz w:val="14"/>
              </w:rPr>
              <w:t>%</w:t>
            </w:r>
          </w:p>
        </w:tc>
      </w:tr>
      <w:tr w:rsidR="00BB4E2E" w:rsidTr="00C42BBC">
        <w:trPr>
          <w:trHeight w:hRule="exact" w:val="237"/>
        </w:trPr>
        <w:tc>
          <w:tcPr>
            <w:tcW w:w="4553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55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DETAIL</w:t>
            </w:r>
          </w:p>
        </w:tc>
        <w:tc>
          <w:tcPr>
            <w:tcW w:w="2069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BB4E2E" w:rsidRDefault="00BB4E2E" w:rsidP="00C42BBC"/>
        </w:tc>
        <w:tc>
          <w:tcPr>
            <w:tcW w:w="2105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BB4E2E" w:rsidRDefault="00BB4E2E" w:rsidP="00C42BBC"/>
        </w:tc>
      </w:tr>
      <w:tr w:rsidR="00BB4E2E" w:rsidTr="00C42BBC">
        <w:trPr>
          <w:trHeight w:hRule="exact" w:val="217"/>
        </w:trPr>
        <w:tc>
          <w:tcPr>
            <w:tcW w:w="4553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3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LENDER ORIGINATION</w:t>
            </w:r>
            <w:r>
              <w:rPr>
                <w:rFonts w:ascii="Arial"/>
                <w:spacing w:val="2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FEE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772DC6">
            <w:pPr>
              <w:pStyle w:val="TableParagraph"/>
              <w:tabs>
                <w:tab w:val="left" w:pos="885"/>
              </w:tabs>
              <w:spacing w:before="3"/>
              <w:ind w:right="1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</w:t>
            </w:r>
            <w:r w:rsidR="00772DC6">
              <w:rPr>
                <w:rFonts w:ascii="Arial"/>
                <w:sz w:val="14"/>
              </w:rPr>
              <w:t>0.000.00</w:t>
            </w:r>
            <w:r>
              <w:rPr>
                <w:rFonts w:ascii="Arial"/>
                <w:sz w:val="14"/>
              </w:rPr>
              <w:tab/>
            </w:r>
            <w:r w:rsidR="00772DC6">
              <w:rPr>
                <w:rFonts w:ascii="Arial"/>
                <w:sz w:val="14"/>
              </w:rPr>
              <w:t>0</w:t>
            </w:r>
            <w:r>
              <w:rPr>
                <w:rFonts w:ascii="Arial"/>
                <w:sz w:val="14"/>
              </w:rPr>
              <w:t>.000%</w:t>
            </w:r>
          </w:p>
        </w:tc>
        <w:tc>
          <w:tcPr>
            <w:tcW w:w="2105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772DC6" w:rsidP="00772DC6">
            <w:pPr>
              <w:pStyle w:val="TableParagraph"/>
              <w:tabs>
                <w:tab w:val="left" w:pos="875"/>
              </w:tabs>
              <w:spacing w:before="3"/>
              <w:ind w:right="1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$0.000.00</w:t>
            </w:r>
            <w:r>
              <w:rPr>
                <w:rFonts w:ascii="Arial"/>
                <w:sz w:val="14"/>
              </w:rPr>
              <w:tab/>
              <w:t>0</w:t>
            </w:r>
            <w:r w:rsidR="00BB4E2E">
              <w:rPr>
                <w:rFonts w:ascii="Arial"/>
                <w:sz w:val="14"/>
              </w:rPr>
              <w:t>.000%</w:t>
            </w:r>
          </w:p>
        </w:tc>
      </w:tr>
      <w:tr w:rsidR="00BB4E2E" w:rsidTr="00C42BBC">
        <w:trPr>
          <w:trHeight w:hRule="exact" w:val="216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8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LENDER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FEES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8"/>
              <w:ind w:left="6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$1,050.00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before="8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$1,050.00</w:t>
            </w:r>
          </w:p>
        </w:tc>
      </w:tr>
      <w:tr w:rsidR="00BB4E2E" w:rsidTr="00C42BBC">
        <w:trPr>
          <w:trHeight w:hRule="exact" w:val="216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772DC6" w:rsidP="00772DC6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HDB </w:t>
            </w:r>
            <w:r w:rsidR="00BB4E2E">
              <w:rPr>
                <w:rFonts w:ascii="Arial"/>
                <w:sz w:val="14"/>
              </w:rPr>
              <w:t>SUCCESS</w:t>
            </w:r>
            <w:r w:rsidR="00BB4E2E">
              <w:rPr>
                <w:rFonts w:ascii="Arial"/>
                <w:spacing w:val="12"/>
                <w:sz w:val="14"/>
              </w:rPr>
              <w:t xml:space="preserve"> </w:t>
            </w:r>
            <w:r w:rsidR="00BB4E2E">
              <w:rPr>
                <w:rFonts w:ascii="Arial"/>
                <w:sz w:val="14"/>
              </w:rPr>
              <w:t>FEE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772DC6">
            <w:pPr>
              <w:pStyle w:val="TableParagraph"/>
              <w:tabs>
                <w:tab w:val="left" w:pos="885"/>
              </w:tabs>
              <w:spacing w:before="7"/>
              <w:ind w:right="1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</w:t>
            </w:r>
            <w:r w:rsidR="00772DC6">
              <w:rPr>
                <w:rFonts w:ascii="Arial"/>
                <w:sz w:val="14"/>
              </w:rPr>
              <w:t>4,887.50</w:t>
            </w:r>
            <w:r>
              <w:rPr>
                <w:rFonts w:ascii="Arial"/>
                <w:sz w:val="14"/>
              </w:rPr>
              <w:tab/>
            </w:r>
            <w:r w:rsidR="00772DC6">
              <w:rPr>
                <w:rFonts w:ascii="Arial"/>
                <w:sz w:val="14"/>
              </w:rPr>
              <w:t>2.500</w:t>
            </w:r>
            <w:r>
              <w:rPr>
                <w:rFonts w:ascii="Arial"/>
                <w:sz w:val="14"/>
              </w:rPr>
              <w:t>%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772DC6">
            <w:pPr>
              <w:pStyle w:val="TableParagraph"/>
              <w:tabs>
                <w:tab w:val="left" w:pos="875"/>
              </w:tabs>
              <w:spacing w:before="7"/>
              <w:ind w:right="1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</w:t>
            </w:r>
            <w:r w:rsidR="00772DC6">
              <w:rPr>
                <w:rFonts w:ascii="Arial"/>
                <w:sz w:val="14"/>
              </w:rPr>
              <w:t>9,775.00</w:t>
            </w:r>
            <w:r>
              <w:rPr>
                <w:rFonts w:ascii="Arial"/>
                <w:sz w:val="14"/>
              </w:rPr>
              <w:tab/>
            </w:r>
            <w:r w:rsidR="00772DC6">
              <w:rPr>
                <w:rFonts w:ascii="Arial"/>
                <w:sz w:val="14"/>
              </w:rPr>
              <w:t>5</w:t>
            </w:r>
            <w:r>
              <w:rPr>
                <w:rFonts w:ascii="Arial"/>
                <w:sz w:val="14"/>
              </w:rPr>
              <w:t>.000%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CREDIT</w:t>
            </w:r>
            <w:r>
              <w:rPr>
                <w:rFonts w:ascii="Arial"/>
                <w:spacing w:val="1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REPORT: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11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$15.00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1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$15.00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APPRAISAL: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772DC6" w:rsidP="00C42BBC">
            <w:pPr>
              <w:pStyle w:val="TableParagraph"/>
              <w:spacing w:line="159" w:lineRule="exact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$55</w:t>
            </w:r>
            <w:r w:rsidR="00BB4E2E">
              <w:rPr>
                <w:rFonts w:ascii="Arial"/>
                <w:sz w:val="14"/>
              </w:rPr>
              <w:t>0.00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772DC6" w:rsidP="00C42BBC">
            <w:pPr>
              <w:pStyle w:val="TableParagraph"/>
              <w:spacing w:line="159" w:lineRule="exact"/>
              <w:ind w:left="8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$55</w:t>
            </w:r>
            <w:r w:rsidR="00BB4E2E">
              <w:rPr>
                <w:rFonts w:ascii="Arial"/>
                <w:sz w:val="14"/>
              </w:rPr>
              <w:t>0.00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ESCROW: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$500.00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8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$500.00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TITLE: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$825.00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8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$825.00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tabs>
                <w:tab w:val="left" w:pos="3686"/>
              </w:tabs>
              <w:spacing w:line="159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MISCELLANEOUS</w:t>
            </w:r>
            <w:r>
              <w:rPr>
                <w:rFonts w:ascii="Arial"/>
                <w:sz w:val="14"/>
              </w:rPr>
              <w:tab/>
              <w:t>Months/Days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$500.00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8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$500.00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772DC6">
            <w:pPr>
              <w:pStyle w:val="TableParagraph"/>
              <w:tabs>
                <w:tab w:val="left" w:pos="3275"/>
                <w:tab w:val="right" w:pos="4223"/>
              </w:tabs>
              <w:spacing w:line="159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PROPERTY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TAX</w:t>
            </w:r>
            <w:r>
              <w:rPr>
                <w:rFonts w:ascii="Arial"/>
                <w:spacing w:val="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IMPOUNDS:</w:t>
            </w:r>
            <w:r>
              <w:rPr>
                <w:rFonts w:ascii="Arial"/>
                <w:sz w:val="14"/>
              </w:rPr>
              <w:tab/>
              <w:t>$208.33</w:t>
            </w:r>
            <w:r>
              <w:rPr>
                <w:rFonts w:ascii="Arial"/>
                <w:sz w:val="14"/>
              </w:rPr>
              <w:tab/>
            </w:r>
            <w:r w:rsidR="00772DC6">
              <w:rPr>
                <w:rFonts w:ascii="Arial"/>
                <w:sz w:val="14"/>
              </w:rPr>
              <w:t>6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</w:t>
            </w:r>
            <w:r w:rsidR="00772DC6">
              <w:rPr>
                <w:rFonts w:ascii="Arial"/>
                <w:sz w:val="14"/>
              </w:rPr>
              <w:t>1,249.98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772DC6" w:rsidP="00C42BBC">
            <w:pPr>
              <w:pStyle w:val="TableParagraph"/>
              <w:spacing w:line="159" w:lineRule="exact"/>
              <w:ind w:left="8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$1.249.98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772DC6">
            <w:pPr>
              <w:pStyle w:val="TableParagraph"/>
              <w:tabs>
                <w:tab w:val="left" w:pos="3354"/>
                <w:tab w:val="right" w:pos="4223"/>
              </w:tabs>
              <w:spacing w:line="159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HOMEOWNERS</w:t>
            </w:r>
            <w:r>
              <w:rPr>
                <w:rFonts w:ascii="Arial"/>
                <w:spacing w:val="2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INSURANCE:</w:t>
            </w:r>
            <w:r>
              <w:rPr>
                <w:rFonts w:ascii="Arial"/>
                <w:sz w:val="14"/>
              </w:rPr>
              <w:tab/>
              <w:t>$53.76</w:t>
            </w:r>
            <w:r>
              <w:rPr>
                <w:rFonts w:ascii="Arial"/>
                <w:sz w:val="14"/>
              </w:rPr>
              <w:tab/>
            </w:r>
            <w:r w:rsidR="00772DC6">
              <w:rPr>
                <w:rFonts w:ascii="Arial"/>
                <w:sz w:val="14"/>
              </w:rPr>
              <w:t>6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</w:t>
            </w:r>
            <w:r w:rsidR="00772DC6">
              <w:rPr>
                <w:rFonts w:ascii="Arial"/>
                <w:sz w:val="14"/>
              </w:rPr>
              <w:t>322.56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772DC6" w:rsidP="00C42BBC">
            <w:pPr>
              <w:pStyle w:val="TableParagraph"/>
              <w:spacing w:line="159" w:lineRule="exact"/>
              <w:ind w:left="8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$322.56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772DC6">
            <w:pPr>
              <w:pStyle w:val="TableParagraph"/>
              <w:tabs>
                <w:tab w:val="right" w:pos="4223"/>
              </w:tabs>
              <w:spacing w:line="159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MONTHLY MORTGAGE INSURANCE</w:t>
            </w:r>
            <w:r>
              <w:rPr>
                <w:rFonts w:ascii="Arial"/>
                <w:sz w:val="14"/>
              </w:rPr>
              <w:tab/>
            </w:r>
            <w:r w:rsidR="00772DC6">
              <w:rPr>
                <w:rFonts w:ascii="Arial"/>
                <w:sz w:val="14"/>
              </w:rPr>
              <w:t>2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$293.25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8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$293.25</w:t>
            </w:r>
          </w:p>
        </w:tc>
      </w:tr>
      <w:tr w:rsidR="00BB4E2E" w:rsidTr="00C42BBC">
        <w:trPr>
          <w:trHeight w:hRule="exact" w:val="175"/>
        </w:trPr>
        <w:tc>
          <w:tcPr>
            <w:tcW w:w="4553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772DC6">
            <w:pPr>
              <w:pStyle w:val="TableParagraph"/>
              <w:tabs>
                <w:tab w:val="left" w:pos="2584"/>
                <w:tab w:val="left" w:pos="3354"/>
                <w:tab w:val="right" w:pos="4223"/>
              </w:tabs>
              <w:spacing w:line="159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PREPAID</w:t>
            </w:r>
            <w:r>
              <w:rPr>
                <w:rFonts w:ascii="Arial"/>
                <w:spacing w:val="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INTEREST:</w:t>
            </w:r>
            <w:r>
              <w:rPr>
                <w:rFonts w:ascii="Arial"/>
                <w:sz w:val="14"/>
              </w:rPr>
              <w:tab/>
            </w:r>
            <w:r w:rsidR="00772DC6">
              <w:rPr>
                <w:rFonts w:ascii="Arial"/>
                <w:sz w:val="14"/>
              </w:rPr>
              <w:t>4.250%</w:t>
            </w:r>
            <w:r w:rsidR="00772DC6">
              <w:rPr>
                <w:rFonts w:ascii="Arial"/>
                <w:sz w:val="14"/>
              </w:rPr>
              <w:tab/>
              <w:t>$2</w:t>
            </w:r>
            <w:r>
              <w:rPr>
                <w:rFonts w:ascii="Arial"/>
                <w:sz w:val="14"/>
              </w:rPr>
              <w:t>8.83</w:t>
            </w:r>
            <w:r>
              <w:rPr>
                <w:rFonts w:ascii="Arial"/>
                <w:sz w:val="14"/>
              </w:rPr>
              <w:tab/>
            </w:r>
            <w:r w:rsidR="00772DC6" w:rsidRPr="00772DC6">
              <w:rPr>
                <w:rFonts w:ascii="Arial"/>
                <w:sz w:val="14"/>
              </w:rPr>
              <w:t>15</w:t>
            </w:r>
          </w:p>
        </w:tc>
        <w:tc>
          <w:tcPr>
            <w:tcW w:w="206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1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$77.66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:rsidR="00BB4E2E" w:rsidRDefault="00BB4E2E" w:rsidP="00C42BBC">
            <w:pPr>
              <w:pStyle w:val="TableParagraph"/>
              <w:spacing w:line="159" w:lineRule="exact"/>
              <w:ind w:left="1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$77.66</w:t>
            </w:r>
          </w:p>
        </w:tc>
      </w:tr>
    </w:tbl>
    <w:p w:rsidR="000D732D" w:rsidRDefault="00BB4E2E">
      <w:r>
        <w:rPr>
          <w:rFonts w:ascii="Arial"/>
          <w:b/>
          <w:sz w:val="14"/>
        </w:rPr>
        <w:t>(Above fee schedule is subject to loan level adjustments and change w</w:t>
      </w:r>
      <w:r w:rsidR="00772DC6">
        <w:rPr>
          <w:rFonts w:ascii="Arial"/>
          <w:b/>
          <w:sz w:val="14"/>
        </w:rPr>
        <w:t>ithout notice)</w:t>
      </w:r>
    </w:p>
    <w:sectPr w:rsidR="000D732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615" w:rsidRDefault="00716615" w:rsidP="00BB4E2E">
      <w:r>
        <w:separator/>
      </w:r>
    </w:p>
  </w:endnote>
  <w:endnote w:type="continuationSeparator" w:id="0">
    <w:p w:rsidR="00716615" w:rsidRDefault="00716615" w:rsidP="00BB4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615" w:rsidRDefault="00716615" w:rsidP="00BB4E2E">
      <w:r>
        <w:separator/>
      </w:r>
    </w:p>
  </w:footnote>
  <w:footnote w:type="continuationSeparator" w:id="0">
    <w:p w:rsidR="00716615" w:rsidRDefault="00716615" w:rsidP="00BB4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2E" w:rsidRPr="0006224E" w:rsidRDefault="009A1004">
    <w:pPr>
      <w:pStyle w:val="Header"/>
      <w:rPr>
        <w:b/>
        <w:color w:val="0070C0"/>
      </w:rPr>
    </w:pPr>
    <w:r>
      <w:rPr>
        <w:noProof/>
      </w:rPr>
      <w:drawing>
        <wp:inline distT="0" distB="0" distL="0" distR="0">
          <wp:extent cx="975360" cy="601345"/>
          <wp:effectExtent l="0" t="0" r="0" b="8255"/>
          <wp:docPr id="1" name="Picture 1" descr="Description: Description: Description: Description: Description: cair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Description: Description: Description: cairn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125" cy="618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224E" w:rsidRPr="0006224E">
      <w:rPr>
        <w:b/>
        <w:color w:val="0070C0"/>
      </w:rPr>
      <w:ptab w:relativeTo="margin" w:alignment="center" w:leader="none"/>
    </w:r>
    <w:r w:rsidR="0006224E" w:rsidRPr="0006224E">
      <w:rPr>
        <w:b/>
        <w:color w:val="0070C0"/>
      </w:rPr>
      <w:t>Craig Everett 503-502-4822</w:t>
    </w:r>
    <w:r w:rsidR="0006224E" w:rsidRPr="0006224E">
      <w:rPr>
        <w:b/>
        <w:color w:val="0070C0"/>
      </w:rPr>
      <w:ptab w:relativeTo="margin" w:alignment="right" w:leader="none"/>
    </w:r>
    <w:r w:rsidR="0006224E" w:rsidRPr="0006224E">
      <w:rPr>
        <w:b/>
        <w:color w:val="0070C0"/>
      </w:rPr>
      <w:t>cr</w:t>
    </w:r>
    <w:r>
      <w:rPr>
        <w:b/>
        <w:color w:val="0070C0"/>
      </w:rPr>
      <w:t>aig@cairnadvisors.net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6B9C"/>
    <w:multiLevelType w:val="hybridMultilevel"/>
    <w:tmpl w:val="0C0EC222"/>
    <w:lvl w:ilvl="0" w:tplc="2F1CA5DE">
      <w:start w:val="1"/>
      <w:numFmt w:val="decimal"/>
      <w:lvlText w:val="%1)"/>
      <w:lvlJc w:val="left"/>
      <w:pPr>
        <w:ind w:left="21" w:hanging="166"/>
        <w:jc w:val="left"/>
      </w:pPr>
      <w:rPr>
        <w:rFonts w:ascii="Arial" w:eastAsia="Arial" w:hAnsi="Arial" w:hint="default"/>
        <w:w w:val="101"/>
        <w:sz w:val="14"/>
        <w:szCs w:val="14"/>
      </w:rPr>
    </w:lvl>
    <w:lvl w:ilvl="1" w:tplc="C7E42B8E">
      <w:start w:val="1"/>
      <w:numFmt w:val="bullet"/>
      <w:lvlText w:val="•"/>
      <w:lvlJc w:val="left"/>
      <w:pPr>
        <w:ind w:left="226" w:hanging="166"/>
      </w:pPr>
      <w:rPr>
        <w:rFonts w:hint="default"/>
      </w:rPr>
    </w:lvl>
    <w:lvl w:ilvl="2" w:tplc="2E303922">
      <w:start w:val="1"/>
      <w:numFmt w:val="bullet"/>
      <w:lvlText w:val="•"/>
      <w:lvlJc w:val="left"/>
      <w:pPr>
        <w:ind w:left="433" w:hanging="166"/>
      </w:pPr>
      <w:rPr>
        <w:rFonts w:hint="default"/>
      </w:rPr>
    </w:lvl>
    <w:lvl w:ilvl="3" w:tplc="2130893E">
      <w:start w:val="1"/>
      <w:numFmt w:val="bullet"/>
      <w:lvlText w:val="•"/>
      <w:lvlJc w:val="left"/>
      <w:pPr>
        <w:ind w:left="639" w:hanging="166"/>
      </w:pPr>
      <w:rPr>
        <w:rFonts w:hint="default"/>
      </w:rPr>
    </w:lvl>
    <w:lvl w:ilvl="4" w:tplc="942E0E5A">
      <w:start w:val="1"/>
      <w:numFmt w:val="bullet"/>
      <w:lvlText w:val="•"/>
      <w:lvlJc w:val="left"/>
      <w:pPr>
        <w:ind w:left="846" w:hanging="166"/>
      </w:pPr>
      <w:rPr>
        <w:rFonts w:hint="default"/>
      </w:rPr>
    </w:lvl>
    <w:lvl w:ilvl="5" w:tplc="050E5F8A">
      <w:start w:val="1"/>
      <w:numFmt w:val="bullet"/>
      <w:lvlText w:val="•"/>
      <w:lvlJc w:val="left"/>
      <w:pPr>
        <w:ind w:left="1052" w:hanging="166"/>
      </w:pPr>
      <w:rPr>
        <w:rFonts w:hint="default"/>
      </w:rPr>
    </w:lvl>
    <w:lvl w:ilvl="6" w:tplc="8A9609F2">
      <w:start w:val="1"/>
      <w:numFmt w:val="bullet"/>
      <w:lvlText w:val="•"/>
      <w:lvlJc w:val="left"/>
      <w:pPr>
        <w:ind w:left="1259" w:hanging="166"/>
      </w:pPr>
      <w:rPr>
        <w:rFonts w:hint="default"/>
      </w:rPr>
    </w:lvl>
    <w:lvl w:ilvl="7" w:tplc="082E35D6">
      <w:start w:val="1"/>
      <w:numFmt w:val="bullet"/>
      <w:lvlText w:val="•"/>
      <w:lvlJc w:val="left"/>
      <w:pPr>
        <w:ind w:left="1465" w:hanging="166"/>
      </w:pPr>
      <w:rPr>
        <w:rFonts w:hint="default"/>
      </w:rPr>
    </w:lvl>
    <w:lvl w:ilvl="8" w:tplc="D700C47E">
      <w:start w:val="1"/>
      <w:numFmt w:val="bullet"/>
      <w:lvlText w:val="•"/>
      <w:lvlJc w:val="left"/>
      <w:pPr>
        <w:ind w:left="1672" w:hanging="16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2E"/>
    <w:rsid w:val="0000310F"/>
    <w:rsid w:val="00003F1C"/>
    <w:rsid w:val="000144B3"/>
    <w:rsid w:val="00035326"/>
    <w:rsid w:val="000460CD"/>
    <w:rsid w:val="0006224E"/>
    <w:rsid w:val="000623E5"/>
    <w:rsid w:val="00082EDA"/>
    <w:rsid w:val="0008726A"/>
    <w:rsid w:val="00097C21"/>
    <w:rsid w:val="000A06F0"/>
    <w:rsid w:val="000B37AE"/>
    <w:rsid w:val="000D732D"/>
    <w:rsid w:val="000F1ECE"/>
    <w:rsid w:val="001159C2"/>
    <w:rsid w:val="00115A32"/>
    <w:rsid w:val="0012632A"/>
    <w:rsid w:val="00132E79"/>
    <w:rsid w:val="00175924"/>
    <w:rsid w:val="00182B19"/>
    <w:rsid w:val="0018313A"/>
    <w:rsid w:val="001865B6"/>
    <w:rsid w:val="0019247B"/>
    <w:rsid w:val="0019261E"/>
    <w:rsid w:val="00193312"/>
    <w:rsid w:val="001A09F3"/>
    <w:rsid w:val="001A2FAE"/>
    <w:rsid w:val="001A5D7B"/>
    <w:rsid w:val="001C6A27"/>
    <w:rsid w:val="001C7ABB"/>
    <w:rsid w:val="001D2ED7"/>
    <w:rsid w:val="001D53BC"/>
    <w:rsid w:val="00201CFA"/>
    <w:rsid w:val="00203C28"/>
    <w:rsid w:val="00206B83"/>
    <w:rsid w:val="00216D66"/>
    <w:rsid w:val="00230D2E"/>
    <w:rsid w:val="002430FB"/>
    <w:rsid w:val="00256E9D"/>
    <w:rsid w:val="00260445"/>
    <w:rsid w:val="0028622F"/>
    <w:rsid w:val="00291449"/>
    <w:rsid w:val="002C4CBA"/>
    <w:rsid w:val="002F11AB"/>
    <w:rsid w:val="002F604B"/>
    <w:rsid w:val="003062FA"/>
    <w:rsid w:val="00315382"/>
    <w:rsid w:val="00317064"/>
    <w:rsid w:val="003273A1"/>
    <w:rsid w:val="00331F6B"/>
    <w:rsid w:val="0034334D"/>
    <w:rsid w:val="0035707B"/>
    <w:rsid w:val="00365129"/>
    <w:rsid w:val="003751F8"/>
    <w:rsid w:val="003C5BF2"/>
    <w:rsid w:val="003D41CC"/>
    <w:rsid w:val="003D51BD"/>
    <w:rsid w:val="003F0F50"/>
    <w:rsid w:val="003F5A91"/>
    <w:rsid w:val="003F6DA5"/>
    <w:rsid w:val="00401991"/>
    <w:rsid w:val="00402B2C"/>
    <w:rsid w:val="00403AAB"/>
    <w:rsid w:val="0041597A"/>
    <w:rsid w:val="004215D6"/>
    <w:rsid w:val="00421FD6"/>
    <w:rsid w:val="00427C82"/>
    <w:rsid w:val="0044332D"/>
    <w:rsid w:val="004502FA"/>
    <w:rsid w:val="00460971"/>
    <w:rsid w:val="004621BE"/>
    <w:rsid w:val="00463996"/>
    <w:rsid w:val="00494D56"/>
    <w:rsid w:val="004A46F9"/>
    <w:rsid w:val="004F0148"/>
    <w:rsid w:val="004F7A20"/>
    <w:rsid w:val="00504350"/>
    <w:rsid w:val="00512E80"/>
    <w:rsid w:val="005216CB"/>
    <w:rsid w:val="00544E3B"/>
    <w:rsid w:val="0055144C"/>
    <w:rsid w:val="00577F22"/>
    <w:rsid w:val="005849E4"/>
    <w:rsid w:val="005A1D23"/>
    <w:rsid w:val="005B1814"/>
    <w:rsid w:val="005B78BE"/>
    <w:rsid w:val="005C0BD4"/>
    <w:rsid w:val="005C5E63"/>
    <w:rsid w:val="005E0991"/>
    <w:rsid w:val="005E316C"/>
    <w:rsid w:val="00602D45"/>
    <w:rsid w:val="00612310"/>
    <w:rsid w:val="00612C9C"/>
    <w:rsid w:val="00622483"/>
    <w:rsid w:val="00625FC2"/>
    <w:rsid w:val="00635E7D"/>
    <w:rsid w:val="00642076"/>
    <w:rsid w:val="00661CB1"/>
    <w:rsid w:val="006639F7"/>
    <w:rsid w:val="00666724"/>
    <w:rsid w:val="006774F5"/>
    <w:rsid w:val="006918EC"/>
    <w:rsid w:val="006A09CF"/>
    <w:rsid w:val="006A19A0"/>
    <w:rsid w:val="006A3D16"/>
    <w:rsid w:val="006B1233"/>
    <w:rsid w:val="006B2FA4"/>
    <w:rsid w:val="006D1401"/>
    <w:rsid w:val="006D6A1E"/>
    <w:rsid w:val="006E193D"/>
    <w:rsid w:val="006F7DEF"/>
    <w:rsid w:val="00701A1E"/>
    <w:rsid w:val="00705308"/>
    <w:rsid w:val="00711B94"/>
    <w:rsid w:val="007133DD"/>
    <w:rsid w:val="00716615"/>
    <w:rsid w:val="00722477"/>
    <w:rsid w:val="007244D6"/>
    <w:rsid w:val="00753BD6"/>
    <w:rsid w:val="00763748"/>
    <w:rsid w:val="00772DC6"/>
    <w:rsid w:val="0078551B"/>
    <w:rsid w:val="0079617D"/>
    <w:rsid w:val="007A75A5"/>
    <w:rsid w:val="007C2F3D"/>
    <w:rsid w:val="007C6BD8"/>
    <w:rsid w:val="007F6FCF"/>
    <w:rsid w:val="007F7ADC"/>
    <w:rsid w:val="00800E2F"/>
    <w:rsid w:val="008202B5"/>
    <w:rsid w:val="00823699"/>
    <w:rsid w:val="00831054"/>
    <w:rsid w:val="00832E09"/>
    <w:rsid w:val="0084204A"/>
    <w:rsid w:val="00857746"/>
    <w:rsid w:val="0086717F"/>
    <w:rsid w:val="00877CD5"/>
    <w:rsid w:val="008823A2"/>
    <w:rsid w:val="008922A7"/>
    <w:rsid w:val="008944C3"/>
    <w:rsid w:val="008A17B7"/>
    <w:rsid w:val="008A1B1E"/>
    <w:rsid w:val="008B309C"/>
    <w:rsid w:val="008C06BF"/>
    <w:rsid w:val="008F5D21"/>
    <w:rsid w:val="00920855"/>
    <w:rsid w:val="009300B6"/>
    <w:rsid w:val="00947FA0"/>
    <w:rsid w:val="00954BF0"/>
    <w:rsid w:val="00961AB8"/>
    <w:rsid w:val="00961AEC"/>
    <w:rsid w:val="0096503E"/>
    <w:rsid w:val="009A1004"/>
    <w:rsid w:val="009B1F54"/>
    <w:rsid w:val="009B4EC7"/>
    <w:rsid w:val="009C6F5D"/>
    <w:rsid w:val="009D0155"/>
    <w:rsid w:val="009D3215"/>
    <w:rsid w:val="009E4F45"/>
    <w:rsid w:val="009E7DE8"/>
    <w:rsid w:val="009F75FC"/>
    <w:rsid w:val="00A00687"/>
    <w:rsid w:val="00A22E01"/>
    <w:rsid w:val="00A334A4"/>
    <w:rsid w:val="00A36C4F"/>
    <w:rsid w:val="00A40ECB"/>
    <w:rsid w:val="00A411F1"/>
    <w:rsid w:val="00A42257"/>
    <w:rsid w:val="00A437C1"/>
    <w:rsid w:val="00A47624"/>
    <w:rsid w:val="00A541B2"/>
    <w:rsid w:val="00A56786"/>
    <w:rsid w:val="00A64337"/>
    <w:rsid w:val="00A66C58"/>
    <w:rsid w:val="00A6733B"/>
    <w:rsid w:val="00A70403"/>
    <w:rsid w:val="00A71D93"/>
    <w:rsid w:val="00A730D5"/>
    <w:rsid w:val="00A769AC"/>
    <w:rsid w:val="00A94533"/>
    <w:rsid w:val="00AA2080"/>
    <w:rsid w:val="00AA29AF"/>
    <w:rsid w:val="00AB1C00"/>
    <w:rsid w:val="00AB5B13"/>
    <w:rsid w:val="00AF7BEE"/>
    <w:rsid w:val="00B14F8A"/>
    <w:rsid w:val="00B2538E"/>
    <w:rsid w:val="00B42387"/>
    <w:rsid w:val="00B56AB7"/>
    <w:rsid w:val="00B66F0F"/>
    <w:rsid w:val="00B83592"/>
    <w:rsid w:val="00B962A9"/>
    <w:rsid w:val="00BB41D5"/>
    <w:rsid w:val="00BB4E2E"/>
    <w:rsid w:val="00BD4C81"/>
    <w:rsid w:val="00BD5FCA"/>
    <w:rsid w:val="00BE28CF"/>
    <w:rsid w:val="00BE3F80"/>
    <w:rsid w:val="00C02844"/>
    <w:rsid w:val="00C04103"/>
    <w:rsid w:val="00C06150"/>
    <w:rsid w:val="00C06AA7"/>
    <w:rsid w:val="00C25201"/>
    <w:rsid w:val="00C30C3F"/>
    <w:rsid w:val="00C34035"/>
    <w:rsid w:val="00C4159E"/>
    <w:rsid w:val="00C441DE"/>
    <w:rsid w:val="00C4713D"/>
    <w:rsid w:val="00C6764F"/>
    <w:rsid w:val="00C718AB"/>
    <w:rsid w:val="00C7735B"/>
    <w:rsid w:val="00C8416A"/>
    <w:rsid w:val="00C96ADA"/>
    <w:rsid w:val="00CC2B4E"/>
    <w:rsid w:val="00CC7D58"/>
    <w:rsid w:val="00CD26B7"/>
    <w:rsid w:val="00CF136E"/>
    <w:rsid w:val="00D247C7"/>
    <w:rsid w:val="00D3127E"/>
    <w:rsid w:val="00D41AAF"/>
    <w:rsid w:val="00D4350D"/>
    <w:rsid w:val="00D540E2"/>
    <w:rsid w:val="00D60CE4"/>
    <w:rsid w:val="00D6662D"/>
    <w:rsid w:val="00D762AA"/>
    <w:rsid w:val="00DA6FA1"/>
    <w:rsid w:val="00DB7A3F"/>
    <w:rsid w:val="00DD00CD"/>
    <w:rsid w:val="00DE7BC7"/>
    <w:rsid w:val="00DF1DB5"/>
    <w:rsid w:val="00E0625A"/>
    <w:rsid w:val="00E10F48"/>
    <w:rsid w:val="00E36879"/>
    <w:rsid w:val="00E36B81"/>
    <w:rsid w:val="00E51022"/>
    <w:rsid w:val="00E617BB"/>
    <w:rsid w:val="00E677A2"/>
    <w:rsid w:val="00E8068D"/>
    <w:rsid w:val="00E83CAD"/>
    <w:rsid w:val="00E92D16"/>
    <w:rsid w:val="00E96CEB"/>
    <w:rsid w:val="00EB7DA4"/>
    <w:rsid w:val="00ED08E5"/>
    <w:rsid w:val="00ED0DF7"/>
    <w:rsid w:val="00F25EE3"/>
    <w:rsid w:val="00F32213"/>
    <w:rsid w:val="00F457D0"/>
    <w:rsid w:val="00F52EBB"/>
    <w:rsid w:val="00F547AE"/>
    <w:rsid w:val="00F5769E"/>
    <w:rsid w:val="00F61B0F"/>
    <w:rsid w:val="00F66FDA"/>
    <w:rsid w:val="00F762FB"/>
    <w:rsid w:val="00F7709E"/>
    <w:rsid w:val="00F84651"/>
    <w:rsid w:val="00F921B1"/>
    <w:rsid w:val="00F94DE8"/>
    <w:rsid w:val="00FC1287"/>
    <w:rsid w:val="00FE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8C24CC-5548-4BFE-9AD5-8D721BE2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B4E2E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B4E2E"/>
    <w:pPr>
      <w:ind w:left="160"/>
    </w:pPr>
    <w:rPr>
      <w:rFonts w:ascii="Arial" w:eastAsia="Arial" w:hAnsi="Arial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BB4E2E"/>
    <w:rPr>
      <w:rFonts w:ascii="Arial" w:eastAsia="Arial" w:hAnsi="Arial"/>
      <w:sz w:val="17"/>
      <w:szCs w:val="17"/>
    </w:rPr>
  </w:style>
  <w:style w:type="paragraph" w:customStyle="1" w:styleId="TableParagraph">
    <w:name w:val="Table Paragraph"/>
    <w:basedOn w:val="Normal"/>
    <w:uiPriority w:val="1"/>
    <w:qFormat/>
    <w:rsid w:val="00BB4E2E"/>
  </w:style>
  <w:style w:type="paragraph" w:styleId="Header">
    <w:name w:val="header"/>
    <w:basedOn w:val="Normal"/>
    <w:link w:val="HeaderChar"/>
    <w:uiPriority w:val="99"/>
    <w:unhideWhenUsed/>
    <w:rsid w:val="00BB4E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E2E"/>
  </w:style>
  <w:style w:type="paragraph" w:styleId="Footer">
    <w:name w:val="footer"/>
    <w:basedOn w:val="Normal"/>
    <w:link w:val="FooterChar"/>
    <w:uiPriority w:val="99"/>
    <w:unhideWhenUsed/>
    <w:rsid w:val="00BB4E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tp.hud.gov/idapp/html/hicostlook.cf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tp.hud.gov/idapp/html/hicostlook.cf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ntp.hud.gov/idapp/html/hicostlook.cf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tp.hud.gov/idapp/html/hicostlook.cf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12694.F00883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B96D9-4640-4D19-B0C0-8C79DB95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Everett</dc:creator>
  <cp:keywords/>
  <dc:description/>
  <cp:lastModifiedBy>Craig Everett</cp:lastModifiedBy>
  <cp:revision>3</cp:revision>
  <dcterms:created xsi:type="dcterms:W3CDTF">2015-10-05T01:41:00Z</dcterms:created>
  <dcterms:modified xsi:type="dcterms:W3CDTF">2015-12-07T04:52:00Z</dcterms:modified>
</cp:coreProperties>
</file>